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548F59" w14:textId="77777777" w:rsidR="001B75B0" w:rsidRDefault="001B75B0">
      <w:pPr>
        <w:spacing w:before="7"/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14:paraId="550C4590" w14:textId="77777777" w:rsidR="001B75B0" w:rsidRDefault="00000000">
      <w:pPr>
        <w:spacing w:before="52"/>
        <w:ind w:left="1918" w:right="1918"/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FORMATO INFORME OBLIGACIONES CONTRACTUALES</w:t>
      </w:r>
    </w:p>
    <w:p w14:paraId="52D5854B" w14:textId="77777777" w:rsidR="001B75B0" w:rsidRDefault="001B75B0">
      <w:pPr>
        <w:rPr>
          <w:rFonts w:ascii="Arial" w:eastAsia="Arial" w:hAnsi="Arial" w:cs="Arial"/>
          <w:color w:val="000000"/>
          <w:sz w:val="24"/>
          <w:szCs w:val="24"/>
        </w:rPr>
      </w:pPr>
    </w:p>
    <w:p w14:paraId="6467823C" w14:textId="77777777" w:rsidR="001B75B0" w:rsidRDefault="001B75B0">
      <w:pPr>
        <w:spacing w:before="2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8828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14"/>
        <w:gridCol w:w="4414"/>
      </w:tblGrid>
      <w:tr w:rsidR="001B75B0" w14:paraId="66AECAF1" w14:textId="77777777">
        <w:trPr>
          <w:trHeight w:val="292"/>
        </w:trPr>
        <w:tc>
          <w:tcPr>
            <w:tcW w:w="4414" w:type="dxa"/>
          </w:tcPr>
          <w:p w14:paraId="71FC1887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del Contratista:</w:t>
            </w:r>
          </w:p>
        </w:tc>
        <w:tc>
          <w:tcPr>
            <w:tcW w:w="4414" w:type="dxa"/>
          </w:tcPr>
          <w:p w14:paraId="6F45DFFC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Yesica Alejandra López Lasso </w:t>
            </w:r>
          </w:p>
        </w:tc>
      </w:tr>
      <w:tr w:rsidR="001B75B0" w14:paraId="5A151298" w14:textId="77777777">
        <w:trPr>
          <w:trHeight w:val="292"/>
        </w:trPr>
        <w:tc>
          <w:tcPr>
            <w:tcW w:w="4414" w:type="dxa"/>
          </w:tcPr>
          <w:p w14:paraId="5AAC7E41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Identidad</w:t>
            </w:r>
          </w:p>
        </w:tc>
        <w:tc>
          <w:tcPr>
            <w:tcW w:w="4414" w:type="dxa"/>
          </w:tcPr>
          <w:p w14:paraId="26746360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</w:t>
            </w:r>
            <w:r>
              <w:rPr>
                <w:rFonts w:ascii="Arial" w:eastAsia="Arial" w:hAnsi="Arial" w:cs="Arial"/>
                <w:sz w:val="24"/>
                <w:szCs w:val="24"/>
              </w:rPr>
              <w:t>1.061.752.041</w:t>
            </w:r>
          </w:p>
        </w:tc>
      </w:tr>
      <w:tr w:rsidR="001B75B0" w14:paraId="2B10BCA1" w14:textId="77777777">
        <w:trPr>
          <w:trHeight w:val="292"/>
        </w:trPr>
        <w:tc>
          <w:tcPr>
            <w:tcW w:w="4414" w:type="dxa"/>
          </w:tcPr>
          <w:p w14:paraId="75773E50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Número del Contrato</w:t>
            </w:r>
          </w:p>
        </w:tc>
        <w:tc>
          <w:tcPr>
            <w:tcW w:w="4414" w:type="dxa"/>
          </w:tcPr>
          <w:p w14:paraId="7A9E6EE2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CO1.PCCNTR.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>9136341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2026</w:t>
            </w:r>
          </w:p>
        </w:tc>
      </w:tr>
      <w:tr w:rsidR="001B75B0" w14:paraId="53BBBAF0" w14:textId="77777777">
        <w:trPr>
          <w:trHeight w:val="2052"/>
        </w:trPr>
        <w:tc>
          <w:tcPr>
            <w:tcW w:w="4414" w:type="dxa"/>
          </w:tcPr>
          <w:p w14:paraId="3C212EF3" w14:textId="77777777" w:rsidR="001B75B0" w:rsidRDefault="00000000">
            <w:pPr>
              <w:spacing w:before="1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Contractual</w:t>
            </w:r>
          </w:p>
        </w:tc>
        <w:tc>
          <w:tcPr>
            <w:tcW w:w="4414" w:type="dxa"/>
          </w:tcPr>
          <w:p w14:paraId="6012FE89" w14:textId="2B307F52" w:rsidR="001B75B0" w:rsidRDefault="00000000">
            <w:pPr>
              <w:spacing w:before="1"/>
              <w:ind w:left="107"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Prestar servicios profesionales de arquitectura para el apoyo técnico en el diseño y desarrollo del modelo de hábitat rural sostenible y productivo basado en procesos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co</w:t>
            </w:r>
            <w:proofErr w:type="spellEnd"/>
            <w:r w:rsidR="00006E2D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creación con las comunidades étnicas, en el marco del Proyecto Hábitat Rural Sostenible y Productivo, durante la vigencia 2026, conforme al plan de trabajo, cronograma y lineamientos institucionales aplicables.</w:t>
            </w:r>
          </w:p>
        </w:tc>
      </w:tr>
      <w:tr w:rsidR="001B75B0" w14:paraId="5C4635F6" w14:textId="77777777">
        <w:trPr>
          <w:trHeight w:val="292"/>
        </w:trPr>
        <w:tc>
          <w:tcPr>
            <w:tcW w:w="4414" w:type="dxa"/>
          </w:tcPr>
          <w:p w14:paraId="63FF7BFA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Área</w:t>
            </w:r>
          </w:p>
        </w:tc>
        <w:tc>
          <w:tcPr>
            <w:tcW w:w="4414" w:type="dxa"/>
          </w:tcPr>
          <w:p w14:paraId="5B440A26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Innovación y Competitividad </w:t>
            </w:r>
          </w:p>
        </w:tc>
      </w:tr>
      <w:tr w:rsidR="001B75B0" w14:paraId="404ACE55" w14:textId="77777777">
        <w:trPr>
          <w:trHeight w:val="292"/>
        </w:trPr>
        <w:tc>
          <w:tcPr>
            <w:tcW w:w="4414" w:type="dxa"/>
          </w:tcPr>
          <w:p w14:paraId="0C90F643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Periodo de la Evidencia</w:t>
            </w:r>
          </w:p>
        </w:tc>
        <w:tc>
          <w:tcPr>
            <w:tcW w:w="4414" w:type="dxa"/>
          </w:tcPr>
          <w:p w14:paraId="30441E4A" w14:textId="5D70CFDA" w:rsidR="001B75B0" w:rsidRDefault="00006E2D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Mayo </w:t>
            </w:r>
            <w:r w:rsidR="00E30B4B">
              <w:rPr>
                <w:rFonts w:ascii="Arial" w:eastAsia="Arial" w:hAnsi="Arial" w:cs="Arial"/>
                <w:color w:val="000000"/>
                <w:sz w:val="24"/>
                <w:szCs w:val="24"/>
              </w:rPr>
              <w:t>2026</w:t>
            </w:r>
          </w:p>
        </w:tc>
      </w:tr>
      <w:tr w:rsidR="001B75B0" w14:paraId="447BDE81" w14:textId="77777777">
        <w:trPr>
          <w:trHeight w:val="294"/>
        </w:trPr>
        <w:tc>
          <w:tcPr>
            <w:tcW w:w="4414" w:type="dxa"/>
          </w:tcPr>
          <w:p w14:paraId="10DA575E" w14:textId="77777777" w:rsidR="001B75B0" w:rsidRDefault="00000000">
            <w:pPr>
              <w:spacing w:before="1" w:line="273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Líder de Área</w:t>
            </w:r>
          </w:p>
        </w:tc>
        <w:tc>
          <w:tcPr>
            <w:tcW w:w="4414" w:type="dxa"/>
          </w:tcPr>
          <w:p w14:paraId="23566560" w14:textId="77777777" w:rsidR="001B75B0" w:rsidRDefault="00000000">
            <w:pPr>
              <w:spacing w:before="1" w:line="273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Luis Fernando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Rodriguez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Lozano</w:t>
            </w:r>
          </w:p>
        </w:tc>
      </w:tr>
      <w:tr w:rsidR="001B75B0" w14:paraId="62A13F03" w14:textId="77777777">
        <w:trPr>
          <w:trHeight w:val="292"/>
        </w:trPr>
        <w:tc>
          <w:tcPr>
            <w:tcW w:w="4414" w:type="dxa"/>
          </w:tcPr>
          <w:p w14:paraId="5F13D167" w14:textId="77777777" w:rsidR="001B75B0" w:rsidRDefault="00000000">
            <w:pPr>
              <w:spacing w:line="272" w:lineRule="auto"/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Supervisor de contrato</w:t>
            </w:r>
          </w:p>
        </w:tc>
        <w:tc>
          <w:tcPr>
            <w:tcW w:w="4414" w:type="dxa"/>
          </w:tcPr>
          <w:p w14:paraId="165554C1" w14:textId="77777777" w:rsidR="001B75B0" w:rsidRDefault="00000000">
            <w:pPr>
              <w:spacing w:before="1" w:line="273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Daniela Mosquera Erazo </w:t>
            </w:r>
          </w:p>
        </w:tc>
      </w:tr>
      <w:tr w:rsidR="001B75B0" w14:paraId="47B08FC3" w14:textId="77777777">
        <w:trPr>
          <w:trHeight w:val="2066"/>
        </w:trPr>
        <w:tc>
          <w:tcPr>
            <w:tcW w:w="4414" w:type="dxa"/>
          </w:tcPr>
          <w:p w14:paraId="5EFB3A31" w14:textId="77777777" w:rsidR="001B75B0" w:rsidRDefault="00000000">
            <w:pPr>
              <w:ind w:left="107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Obligación Contractual que soporta el presente informe</w:t>
            </w:r>
          </w:p>
        </w:tc>
        <w:tc>
          <w:tcPr>
            <w:tcW w:w="4414" w:type="dxa"/>
          </w:tcPr>
          <w:p w14:paraId="66F45D6A" w14:textId="77777777" w:rsidR="001B75B0" w:rsidRDefault="00000000">
            <w:pPr>
              <w:widowControl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Caracterizar las condiciones habitacionales de las comunidades mediante el levantamiento en campo de información arquitectónica y constructiva, y el análisis de las tipologías constructivas y su relación con el entorno.</w:t>
            </w:r>
          </w:p>
        </w:tc>
      </w:tr>
    </w:tbl>
    <w:p w14:paraId="5B880707" w14:textId="77777777" w:rsidR="001B75B0" w:rsidRDefault="001B75B0">
      <w:pPr>
        <w:spacing w:before="51"/>
        <w:rPr>
          <w:rFonts w:ascii="Arial" w:eastAsia="Arial" w:hAnsi="Arial" w:cs="Arial"/>
          <w:b/>
          <w:bCs/>
          <w:color w:val="000000"/>
          <w:sz w:val="24"/>
          <w:szCs w:val="24"/>
        </w:rPr>
      </w:pPr>
    </w:p>
    <w:p w14:paraId="0C82738F" w14:textId="247CE180" w:rsidR="001B75B0" w:rsidRDefault="00000000">
      <w:pPr>
        <w:spacing w:before="51"/>
        <w:ind w:left="142"/>
        <w:rPr>
          <w:rFonts w:ascii="Arial" w:eastAsia="Arial" w:hAnsi="Arial" w:cs="Arial"/>
          <w:b/>
          <w:bCs/>
          <w:color w:val="000000"/>
          <w:sz w:val="24"/>
          <w:szCs w:val="24"/>
          <w:highlight w:val="yellow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REPORTE DE ACTIVIDADES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MES DE </w:t>
      </w:r>
      <w:r w:rsidR="00006E2D">
        <w:rPr>
          <w:rFonts w:ascii="Arial" w:eastAsia="Arial" w:hAnsi="Arial" w:cs="Arial"/>
          <w:b/>
          <w:bCs/>
          <w:sz w:val="24"/>
          <w:szCs w:val="24"/>
        </w:rPr>
        <w:t>MAYO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: </w:t>
      </w:r>
    </w:p>
    <w:p w14:paraId="003F0C6E" w14:textId="1D070409" w:rsidR="001B75B0" w:rsidRDefault="00000000">
      <w:pPr>
        <w:pStyle w:val="Ttulo3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Actividad </w:t>
      </w:r>
      <w:r w:rsidR="00006E2D">
        <w:rPr>
          <w:rFonts w:ascii="Arial" w:eastAsia="Arial" w:hAnsi="Arial" w:cs="Arial"/>
          <w:sz w:val="24"/>
          <w:szCs w:val="24"/>
        </w:rPr>
        <w:t>1:</w:t>
      </w:r>
      <w:r w:rsidR="0089146B">
        <w:rPr>
          <w:rFonts w:ascii="Arial" w:eastAsia="Arial" w:hAnsi="Arial" w:cs="Arial"/>
          <w:sz w:val="24"/>
          <w:szCs w:val="24"/>
        </w:rPr>
        <w:t xml:space="preserve"> </w:t>
      </w:r>
      <w:r w:rsidR="0089146B" w:rsidRPr="0089146B">
        <w:rPr>
          <w:rFonts w:ascii="Arial" w:hAnsi="Arial" w:cs="Arial"/>
          <w:sz w:val="24"/>
          <w:szCs w:val="24"/>
        </w:rPr>
        <w:t xml:space="preserve">participación en la caracterización de </w:t>
      </w:r>
      <w:r w:rsidR="00006E2D">
        <w:rPr>
          <w:rFonts w:ascii="Arial" w:hAnsi="Arial" w:cs="Arial"/>
          <w:sz w:val="24"/>
          <w:szCs w:val="24"/>
        </w:rPr>
        <w:t xml:space="preserve">Putumayo – Sibundoy </w:t>
      </w:r>
    </w:p>
    <w:p w14:paraId="5DC110AE" w14:textId="7AFD2614" w:rsidR="001B75B0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Se realizó la participación en la jornada de caracterización de vivienda rural en el departamento de </w:t>
      </w:r>
      <w:r w:rsidR="00006E2D">
        <w:rPr>
          <w:rFonts w:ascii="Arial" w:eastAsia="Arial" w:hAnsi="Arial" w:cs="Arial"/>
          <w:color w:val="000000"/>
          <w:sz w:val="24"/>
          <w:szCs w:val="24"/>
        </w:rPr>
        <w:t>Putumayo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, específicamente en </w:t>
      </w:r>
      <w:r w:rsidR="00006E2D">
        <w:rPr>
          <w:rFonts w:ascii="Arial" w:eastAsia="Arial" w:hAnsi="Arial" w:cs="Arial"/>
          <w:color w:val="000000"/>
          <w:sz w:val="24"/>
          <w:szCs w:val="24"/>
        </w:rPr>
        <w:t>Sibundoy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, mediante la aplicación de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lastRenderedPageBreak/>
        <w:t>instrumentos de observación desde los componentes de arquitectura, construcción y energético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. </w:t>
      </w:r>
    </w:p>
    <w:p w14:paraId="4F09D448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Levantamientos y apoyo técnico</w:t>
      </w:r>
    </w:p>
    <w:p w14:paraId="4721AD77" w14:textId="144800F2" w:rsid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>En el marco de esta actividad, desde el apoyo profesional en el componente de arquitectura, se desarrollaron levantamientos esquemáticos de vivienda, los cuales fueron consolidados en formato digital (PDF) y serán referenciados mediante enlace de acceso.</w:t>
      </w:r>
    </w:p>
    <w:p w14:paraId="061883D5" w14:textId="77777777" w:rsidR="000C4C8F" w:rsidRPr="0089146B" w:rsidRDefault="000C4C8F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720889DD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De manera complementaria:</w:t>
      </w:r>
    </w:p>
    <w:p w14:paraId="08A93890" w14:textId="06A01443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Se brindó apoyo en la aplicación de instrumentos de observación de los componentes constructivo y energético, </w:t>
      </w:r>
      <w:r>
        <w:rPr>
          <w:rFonts w:ascii="Arial" w:eastAsia="Arial" w:hAnsi="Arial" w:cs="Arial"/>
          <w:color w:val="000000"/>
          <w:sz w:val="24"/>
          <w:szCs w:val="24"/>
        </w:rPr>
        <w:t>s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e participó activamente en las visitas de campo a viviendas, contribuyendo al registro técnico necesario para la identificación de tipologías arquitectónicas predominantes en el territorio. </w:t>
      </w:r>
    </w:p>
    <w:p w14:paraId="5EEBA807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Análisis tipológico y arquitectónico</w:t>
      </w:r>
    </w:p>
    <w:p w14:paraId="119A0BD5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>A partir del ejercicio de caracterización, se identifican patrones claros en la configuración espacial y constructiva de la vivienda rural en el sector:</w:t>
      </w:r>
    </w:p>
    <w:p w14:paraId="5DC4A472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>1. Organización espacial</w:t>
      </w:r>
    </w:p>
    <w:p w14:paraId="339AD119" w14:textId="1187D292" w:rsidR="00006E2D" w:rsidRDefault="00006E2D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lastRenderedPageBreak/>
        <w:t xml:space="preserve">La cocina conecta espacios sociales, aun se evidencia el uso de estufa de leña, y predomina una tendencia en detalles arquitectónicos, y </w:t>
      </w:r>
      <w:r w:rsidR="003E3CE3">
        <w:rPr>
          <w:rFonts w:ascii="Arial" w:eastAsia="Arial" w:hAnsi="Arial" w:cs="Arial"/>
          <w:color w:val="000000"/>
          <w:sz w:val="24"/>
          <w:szCs w:val="24"/>
        </w:rPr>
        <w:t>urbanismos tácticos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la identidad cultural, en murales gráficos. </w:t>
      </w:r>
    </w:p>
    <w:p w14:paraId="4813FAB9" w14:textId="3E5DE805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Este espacio cumple funciones múltiples: preparación de alimentos, reunión familiar y socialización comunitaria. </w:t>
      </w:r>
    </w:p>
    <w:p w14:paraId="418653F6" w14:textId="0134C37E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Sistemas </w:t>
      </w:r>
      <w:r w:rsidR="002136EF"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tradicionales</w:t>
      </w:r>
      <w:r w:rsidR="002136EF">
        <w:rPr>
          <w:rFonts w:ascii="Arial" w:eastAsia="Arial" w:hAnsi="Arial" w:cs="Arial"/>
          <w:b/>
          <w:bCs/>
          <w:color w:val="000000"/>
          <w:sz w:val="24"/>
          <w:szCs w:val="24"/>
        </w:rPr>
        <w:t>: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</w:t>
      </w:r>
    </w:p>
    <w:p w14:paraId="594FEC84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Predomina el uso de estufa de leña, asociada a prácticas culturales y condiciones climáticas. </w:t>
      </w:r>
    </w:p>
    <w:p w14:paraId="6A317039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La cocina integra elementos como fogón y chimenea, fundamentales para confort térmico. </w:t>
      </w:r>
    </w:p>
    <w:p w14:paraId="05AB269C" w14:textId="3CCEE80A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Materialidad y respuesta climática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: </w:t>
      </w:r>
    </w:p>
    <w:p w14:paraId="7810BA71" w14:textId="4E496EF5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>Cubiertas en teja de</w:t>
      </w:r>
      <w:r w:rsidR="00006E2D">
        <w:rPr>
          <w:rFonts w:ascii="Arial" w:eastAsia="Arial" w:hAnsi="Arial" w:cs="Arial"/>
          <w:color w:val="000000"/>
          <w:sz w:val="24"/>
          <w:szCs w:val="24"/>
        </w:rPr>
        <w:t xml:space="preserve"> fibrocemento,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uros en </w:t>
      </w:r>
      <w:r w:rsidR="00006E2D">
        <w:rPr>
          <w:rFonts w:ascii="Arial" w:eastAsia="Arial" w:hAnsi="Arial" w:cs="Arial"/>
          <w:color w:val="000000"/>
          <w:sz w:val="24"/>
          <w:szCs w:val="24"/>
        </w:rPr>
        <w:t>mampostería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, madera o sistemas mixtos, con recubrimientos internos para aislamiento térmico. </w:t>
      </w:r>
    </w:p>
    <w:p w14:paraId="7E74569F" w14:textId="6F95043F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Accesibilidad y circulación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: 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Se identifica una dualidad en accesos</w:t>
      </w:r>
      <w:r>
        <w:rPr>
          <w:rFonts w:ascii="Arial" w:eastAsia="Arial" w:hAnsi="Arial" w:cs="Arial"/>
          <w:color w:val="000000"/>
          <w:sz w:val="24"/>
          <w:szCs w:val="24"/>
        </w:rPr>
        <w:t>, a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cceso frontal (formal, poco utilizado)</w:t>
      </w:r>
      <w:r>
        <w:rPr>
          <w:rFonts w:ascii="Arial" w:eastAsia="Arial" w:hAnsi="Arial" w:cs="Arial"/>
          <w:color w:val="000000"/>
          <w:sz w:val="24"/>
          <w:szCs w:val="24"/>
        </w:rPr>
        <w:t>, a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cceso lateral o posterior (principal uso cotidiano)</w:t>
      </w:r>
      <w:r>
        <w:rPr>
          <w:rFonts w:ascii="Arial" w:eastAsia="Arial" w:hAnsi="Arial" w:cs="Arial"/>
          <w:color w:val="000000"/>
          <w:sz w:val="24"/>
          <w:szCs w:val="24"/>
        </w:rPr>
        <w:t>, e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l patio funciona como elemento articulador, actuando como espacio de distribución hacia: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Habitaciones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Baño</w:t>
      </w:r>
      <w:r w:rsidR="00006E2D">
        <w:rPr>
          <w:rFonts w:ascii="Arial" w:eastAsia="Arial" w:hAnsi="Arial" w:cs="Arial"/>
          <w:color w:val="000000"/>
          <w:sz w:val="24"/>
          <w:szCs w:val="24"/>
        </w:rPr>
        <w:t xml:space="preserve"> fuera de la vivienda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>Cocina, Huerta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.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 </w:t>
      </w:r>
    </w:p>
    <w:p w14:paraId="502C1AF4" w14:textId="028D327D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Relación productiva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: </w:t>
      </w:r>
    </w:p>
    <w:p w14:paraId="4712F2F5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lastRenderedPageBreak/>
        <w:t xml:space="preserve">Presencia recurrente de huertas domésticas, evidenciando integración entre vivienda y producción. </w:t>
      </w:r>
    </w:p>
    <w:p w14:paraId="509A9ED5" w14:textId="0E05537A" w:rsid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Tipología edificatoria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: </w:t>
      </w: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Se identifican viviendas de uno y dos niveles, con predominancia de viviendas unifamiliares de un nivel. </w:t>
      </w:r>
    </w:p>
    <w:p w14:paraId="397C3C58" w14:textId="77777777" w:rsidR="000C4C8F" w:rsidRPr="0089146B" w:rsidRDefault="000C4C8F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</w:p>
    <w:p w14:paraId="56CC2ED0" w14:textId="6DB34BCD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 w:rsidRPr="0089146B">
        <w:rPr>
          <w:rFonts w:ascii="Arial" w:eastAsia="Arial" w:hAnsi="Arial" w:cs="Arial"/>
          <w:b/>
          <w:bCs/>
          <w:color w:val="000000"/>
          <w:sz w:val="24"/>
          <w:szCs w:val="24"/>
        </w:rPr>
        <w:t>Conclusiones técnicas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: </w:t>
      </w:r>
    </w:p>
    <w:p w14:paraId="722CCECE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La vivienda rural en el sector presenta una fuerte relación entre cultura, clima y configuración espacial, donde la cocina es el núcleo funcional y simbólico. </w:t>
      </w:r>
    </w:p>
    <w:p w14:paraId="3C06AE98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Se evidencia una arquitectura adaptativa, con soluciones constructivas que responden a condiciones térmicas extremas. </w:t>
      </w:r>
    </w:p>
    <w:p w14:paraId="6764DD80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 xml:space="preserve">La organización espacial prioriza dinámicas comunitarias y productivas, integrando la vivienda con el entorno inmediato. </w:t>
      </w:r>
    </w:p>
    <w:p w14:paraId="23926100" w14:textId="77777777" w:rsidR="0089146B" w:rsidRPr="0089146B" w:rsidRDefault="0089146B" w:rsidP="0089146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before="280" w:after="280" w:line="480" w:lineRule="auto"/>
        <w:rPr>
          <w:rFonts w:ascii="Arial" w:eastAsia="Arial" w:hAnsi="Arial" w:cs="Arial"/>
          <w:color w:val="000000"/>
          <w:sz w:val="24"/>
          <w:szCs w:val="24"/>
        </w:rPr>
      </w:pPr>
      <w:r w:rsidRPr="0089146B">
        <w:rPr>
          <w:rFonts w:ascii="Arial" w:eastAsia="Arial" w:hAnsi="Arial" w:cs="Arial"/>
          <w:color w:val="000000"/>
          <w:sz w:val="24"/>
          <w:szCs w:val="24"/>
        </w:rPr>
        <w:t>Los levantamientos realizados permiten establecer una base técnica para la definición de tipologías arquitectónicas ajustadas al contexto territorial.</w:t>
      </w:r>
    </w:p>
    <w:p w14:paraId="48E9A4E0" w14:textId="4EB34E57" w:rsidR="0089146B" w:rsidRPr="000C4C8F" w:rsidRDefault="000C4C8F" w:rsidP="0089146B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C4C8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Anexo carpeta de levantamientos: </w:t>
      </w:r>
    </w:p>
    <w:p w14:paraId="7C622D8F" w14:textId="77777777" w:rsidR="00006E2D" w:rsidRPr="00006E2D" w:rsidRDefault="000C4C8F" w:rsidP="00006E2D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8" w:history="1">
        <w:r w:rsidR="00006E2D" w:rsidRPr="00006E2D">
          <w:rPr>
            <w:rStyle w:val="Hipervnculo"/>
            <w:rFonts w:ascii="Times New Roman" w:eastAsia="Times New Roman" w:hAnsi="Times New Roman" w:cs="Times New Roman"/>
            <w:sz w:val="24"/>
            <w:szCs w:val="24"/>
          </w:rPr>
          <w:t>LEV_ESC_PUTUMAYO_ SIBUNDOY</w:t>
        </w:r>
      </w:hyperlink>
    </w:p>
    <w:p w14:paraId="6821AD0D" w14:textId="1A42FA9A" w:rsidR="001B75B0" w:rsidRPr="00006E2D" w:rsidRDefault="00006E2D" w:rsidP="00006E2D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</w:pPr>
      <w:hyperlink r:id="rId9" w:history="1">
        <w:r w:rsidRPr="00006E2D">
          <w:rPr>
            <w:rStyle w:val="Hipervnculo"/>
          </w:rPr>
          <w:t>Acta_02 Fin_Comisión-Sibundoy.docx</w:t>
        </w:r>
      </w:hyperlink>
    </w:p>
    <w:sectPr w:rsidR="001B75B0" w:rsidRPr="00006E2D">
      <w:headerReference w:type="default" r:id="rId10"/>
      <w:footerReference w:type="default" r:id="rId11"/>
      <w:pgSz w:w="12240" w:h="15840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105C2F" w14:textId="77777777" w:rsidR="008C2EB4" w:rsidRDefault="008C2EB4">
      <w:r>
        <w:separator/>
      </w:r>
    </w:p>
  </w:endnote>
  <w:endnote w:type="continuationSeparator" w:id="0">
    <w:p w14:paraId="1320288A" w14:textId="77777777" w:rsidR="008C2EB4" w:rsidRDefault="008C2E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3ED6A5F-DDA2-4BF6-9B3D-64254EAAB43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5F04F4E-7A25-4A46-BB95-61BAA7622D93}"/>
    <w:embedBold r:id="rId3" w:fontKey="{29E1E87A-E777-4654-9A87-074BAF3F12E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FE43489-4B1F-48AB-A6C0-8D41609697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4ABD9D2-4072-4273-B255-EB29F95AED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B930D" w14:textId="77777777" w:rsidR="001B75B0" w:rsidRDefault="00000000">
    <w:pP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1604BCE2" wp14:editId="4ECEE5E5">
              <wp:simplePos x="0" y="0"/>
              <wp:positionH relativeFrom="column">
                <wp:posOffset>5584508</wp:posOffset>
              </wp:positionH>
              <wp:positionV relativeFrom="paragraph">
                <wp:posOffset>8811578</wp:posOffset>
              </wp:positionV>
              <wp:extent cx="178435" cy="186055"/>
              <wp:effectExtent l="0" t="0" r="0" b="0"/>
              <wp:wrapNone/>
              <wp:docPr id="678004059" name="Rectángulo 6780040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565A14" w14:textId="77777777" w:rsidR="001B75B0" w:rsidRDefault="00000000">
                          <w:pPr>
                            <w:spacing w:before="12"/>
                            <w:ind w:left="60" w:firstLine="12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604BCE2" id="Rectángulo 678004059" o:spid="_x0000_s1026" style="position:absolute;margin-left:439.75pt;margin-top:693.85pt;width:14.05pt;height:14.65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" filled="f" stroked="f">
              <v:textbox inset="0,0,0,0">
                <w:txbxContent>
                  <w:p w14:paraId="72565A14" w14:textId="77777777" w:rsidR="001B75B0" w:rsidRDefault="00000000">
                    <w:pPr>
                      <w:spacing w:before="12"/>
                      <w:ind w:left="60" w:firstLine="12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EEB45" w14:textId="77777777" w:rsidR="008C2EB4" w:rsidRDefault="008C2EB4">
      <w:r>
        <w:separator/>
      </w:r>
    </w:p>
  </w:footnote>
  <w:footnote w:type="continuationSeparator" w:id="0">
    <w:p w14:paraId="35F613E0" w14:textId="77777777" w:rsidR="008C2EB4" w:rsidRDefault="008C2E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7F04C6" w14:textId="77777777" w:rsidR="001B75B0" w:rsidRDefault="00000000">
    <w:pP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B3EB775" wp14:editId="3010F7F2">
          <wp:simplePos x="0" y="0"/>
          <wp:positionH relativeFrom="column">
            <wp:posOffset>2613660</wp:posOffset>
          </wp:positionH>
          <wp:positionV relativeFrom="paragraph">
            <wp:posOffset>196850</wp:posOffset>
          </wp:positionV>
          <wp:extent cx="563525" cy="497244"/>
          <wp:effectExtent l="0" t="0" r="0" b="0"/>
          <wp:wrapSquare wrapText="bothSides" distT="0" distB="0" distL="114300" distR="114300"/>
          <wp:docPr id="678004060" name="image1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32297"/>
    <w:multiLevelType w:val="multilevel"/>
    <w:tmpl w:val="518CEC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E4C2758"/>
    <w:multiLevelType w:val="multilevel"/>
    <w:tmpl w:val="21C83FF2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F2C3399"/>
    <w:multiLevelType w:val="multilevel"/>
    <w:tmpl w:val="64129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2A3214"/>
    <w:multiLevelType w:val="multilevel"/>
    <w:tmpl w:val="C80E5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D2E7DC3"/>
    <w:multiLevelType w:val="multilevel"/>
    <w:tmpl w:val="F4C6D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5BA53CA"/>
    <w:multiLevelType w:val="hybridMultilevel"/>
    <w:tmpl w:val="C9961862"/>
    <w:lvl w:ilvl="0" w:tplc="240A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0026C5"/>
    <w:multiLevelType w:val="multilevel"/>
    <w:tmpl w:val="F91AF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E7A63"/>
    <w:multiLevelType w:val="multilevel"/>
    <w:tmpl w:val="F7AABA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1CA0775"/>
    <w:multiLevelType w:val="multilevel"/>
    <w:tmpl w:val="72825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07162B"/>
    <w:multiLevelType w:val="multilevel"/>
    <w:tmpl w:val="6BE00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2484C2E"/>
    <w:multiLevelType w:val="multilevel"/>
    <w:tmpl w:val="AA38D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0815577">
    <w:abstractNumId w:val="0"/>
  </w:num>
  <w:num w:numId="2" w16cid:durableId="1563130728">
    <w:abstractNumId w:val="1"/>
  </w:num>
  <w:num w:numId="3" w16cid:durableId="904145944">
    <w:abstractNumId w:val="6"/>
  </w:num>
  <w:num w:numId="4" w16cid:durableId="581716574">
    <w:abstractNumId w:val="7"/>
  </w:num>
  <w:num w:numId="5" w16cid:durableId="481579368">
    <w:abstractNumId w:val="4"/>
  </w:num>
  <w:num w:numId="6" w16cid:durableId="877159635">
    <w:abstractNumId w:val="10"/>
  </w:num>
  <w:num w:numId="7" w16cid:durableId="331565300">
    <w:abstractNumId w:val="8"/>
  </w:num>
  <w:num w:numId="8" w16cid:durableId="1208761021">
    <w:abstractNumId w:val="2"/>
  </w:num>
  <w:num w:numId="9" w16cid:durableId="595946218">
    <w:abstractNumId w:val="3"/>
  </w:num>
  <w:num w:numId="10" w16cid:durableId="1125154359">
    <w:abstractNumId w:val="9"/>
  </w:num>
  <w:num w:numId="11" w16cid:durableId="28550240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75B0"/>
    <w:rsid w:val="00006E2D"/>
    <w:rsid w:val="0003143C"/>
    <w:rsid w:val="000C4C8F"/>
    <w:rsid w:val="001B75B0"/>
    <w:rsid w:val="002136EF"/>
    <w:rsid w:val="003A24BD"/>
    <w:rsid w:val="003E3CE3"/>
    <w:rsid w:val="007C7CEB"/>
    <w:rsid w:val="0089146B"/>
    <w:rsid w:val="008C2EB4"/>
    <w:rsid w:val="00AD25A2"/>
    <w:rsid w:val="00C26588"/>
    <w:rsid w:val="00C33439"/>
    <w:rsid w:val="00CA05A1"/>
    <w:rsid w:val="00E30B4B"/>
    <w:rsid w:val="00E41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89A995"/>
  <w15:docId w15:val="{98ECB019-E4C7-4AF0-9562-B37E90817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Hipervnculo">
    <w:name w:val="Hyperlink"/>
    <w:basedOn w:val="Fuentedeprrafopredeter"/>
    <w:uiPriority w:val="99"/>
    <w:unhideWhenUsed/>
    <w:qFormat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</w:pPr>
  </w:style>
  <w:style w:type="paragraph" w:styleId="NormalWeb">
    <w:name w:val="Normal (Web)"/>
    <w:basedOn w:val="Normal"/>
    <w:uiPriority w:val="99"/>
    <w:unhideWhenUsed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character" w:customStyle="1" w:styleId="EncabezadoCar">
    <w:name w:val="Encabezado Car"/>
    <w:basedOn w:val="Fuentedeprrafopredeter"/>
    <w:link w:val="Encabezado"/>
    <w:uiPriority w:val="99"/>
    <w:rPr>
      <w:rFonts w:ascii="Calibri" w:eastAsia="Calibri" w:hAnsi="Calibri" w:cs="Calibri"/>
      <w:lang w:val="es-ES"/>
    </w:rPr>
  </w:style>
  <w:style w:type="character" w:customStyle="1" w:styleId="PiedepginaCar">
    <w:name w:val="Pie de página Car"/>
    <w:basedOn w:val="Fuentedeprrafopredeter"/>
    <w:link w:val="Piedepgina"/>
    <w:uiPriority w:val="99"/>
    <w:rPr>
      <w:rFonts w:ascii="Calibri" w:eastAsia="Calibri" w:hAnsi="Calibri" w:cs="Calibri"/>
      <w:lang w:val="es-ES"/>
    </w:rPr>
  </w:style>
  <w:style w:type="character" w:customStyle="1" w:styleId="selectable-text">
    <w:name w:val="selectable-text"/>
    <w:basedOn w:val="Fuentedeprrafopredeter"/>
  </w:style>
  <w:style w:type="paragraph" w:styleId="Sinespaciado">
    <w:name w:val="No Spacing"/>
    <w:link w:val="SinespaciadoCar"/>
    <w:uiPriority w:val="1"/>
    <w:qFormat/>
    <w:pPr>
      <w:spacing w:after="160" w:line="480" w:lineRule="auto"/>
    </w:pPr>
    <w:rPr>
      <w:rFonts w:eastAsiaTheme="minorEastAsia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eastAsiaTheme="minorEastAsia"/>
      <w:lang w:val="es-CO" w:eastAsia="es-CO"/>
    </w:rPr>
  </w:style>
  <w:style w:type="table" w:customStyle="1" w:styleId="Style24">
    <w:name w:val="_Style 24"/>
    <w:basedOn w:val="TableNormal1"/>
    <w:tblPr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2136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53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8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7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5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na4-my.sharepoint.com/:f:/g/personal/ylopezl_sena_edu_co/IgDkqVALhLIQQ5Dg86w-i45BAfte1zbbReSAeD1TwJwAMeU?e=qaYdco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sena4-my.sharepoint.com/:w:/g/personal/pparra_sena_edu_co/IQBHxnBSfl29Rao1M2XADay0AY5fpt9T7PvlH9VkgbRjr2I?e=6FtsA0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VD7zFfVAcZ2+G8rJ9xoo5cImtw==">CgMxLjA4AHIhMS1FUnVjTmRRSmtOdHBvemJGZVd1TmU0aUhjeGllTEc5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4</Pages>
  <Words>686</Words>
  <Characters>3773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Yesica Alejandra Lopez Lasso</cp:lastModifiedBy>
  <cp:revision>7</cp:revision>
  <dcterms:created xsi:type="dcterms:W3CDTF">2024-01-24T02:25:00Z</dcterms:created>
  <dcterms:modified xsi:type="dcterms:W3CDTF">2026-05-12T02:29:00Z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  <property fmtid="{D5CDD505-2E9C-101B-9397-08002B2CF9AE}" pid="15" name="KSOProductBuildVer">
    <vt:lpwstr>2058-12.2.0.23196</vt:lpwstr>
  </property>
  <property fmtid="{D5CDD505-2E9C-101B-9397-08002B2CF9AE}" pid="16" name="ICV">
    <vt:lpwstr>DD452E443B214B27B88DDFF09F13FFD3_12</vt:lpwstr>
  </property>
</Properties>
</file>